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8F" w:rsidRDefault="00D3098F" w:rsidP="00722B0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26F73"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 wp14:anchorId="7D964557" wp14:editId="08EF1C29">
            <wp:simplePos x="0" y="0"/>
            <wp:positionH relativeFrom="margin">
              <wp:posOffset>1641475</wp:posOffset>
            </wp:positionH>
            <wp:positionV relativeFrom="margin">
              <wp:posOffset>-284480</wp:posOffset>
            </wp:positionV>
            <wp:extent cx="1668780" cy="1201420"/>
            <wp:effectExtent l="0" t="0" r="0" b="0"/>
            <wp:wrapTight wrapText="bothSides">
              <wp:wrapPolygon edited="0">
                <wp:start x="7151" y="685"/>
                <wp:lineTo x="5425" y="1370"/>
                <wp:lineTo x="2466" y="4795"/>
                <wp:lineTo x="2219" y="10275"/>
                <wp:lineTo x="2959" y="12330"/>
                <wp:lineTo x="1233" y="13357"/>
                <wp:lineTo x="1479" y="16097"/>
                <wp:lineTo x="7890" y="18495"/>
                <wp:lineTo x="8630" y="19180"/>
                <wp:lineTo x="13315" y="19180"/>
                <wp:lineTo x="15288" y="17810"/>
                <wp:lineTo x="19726" y="16440"/>
                <wp:lineTo x="20466" y="13700"/>
                <wp:lineTo x="18493" y="12330"/>
                <wp:lineTo x="19973" y="11987"/>
                <wp:lineTo x="19479" y="10960"/>
                <wp:lineTo x="16027" y="6850"/>
                <wp:lineTo x="12575" y="685"/>
                <wp:lineTo x="7151" y="685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098F" w:rsidRDefault="00D3098F" w:rsidP="00722B0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3098F" w:rsidRDefault="00D3098F" w:rsidP="00722B0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3098F" w:rsidRDefault="00D3098F" w:rsidP="00722B0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3098F" w:rsidRDefault="00D3098F" w:rsidP="00722B0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17BE1" w:rsidRDefault="00722B08" w:rsidP="00722B0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наличии средств обучения и воспитания</w:t>
      </w:r>
      <w:r w:rsidR="00D3098F" w:rsidRPr="00717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22B08" w:rsidRDefault="00D3098F" w:rsidP="00722B0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МБДОУ детском саду комбинированного вида № 10 «Ивушка»</w:t>
      </w:r>
    </w:p>
    <w:p w:rsidR="00717BE1" w:rsidRPr="00717BE1" w:rsidRDefault="00717BE1" w:rsidP="00722B0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 – 2021 учебный год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22B08" w:rsidRPr="00722B08" w:rsidRDefault="00722B08" w:rsidP="00722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МБДОУ. Являясь компонентом воспитательно-образовательного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722B08" w:rsidRPr="00722B08" w:rsidRDefault="00722B08" w:rsidP="00722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обучения</w:t>
      </w: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722B08" w:rsidRPr="00722B08" w:rsidRDefault="00722B08" w:rsidP="00722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Общепринятая современная типология подразделяет средства обучения на следующие виды: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-печатные (учебники и учебные пособия, книги для чтения, хрестоматии, рабочие тетради, атласы, раздаточный материал и т.д.);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электронные образовательные ресурсы (часто называемые образовательные мультимедиа учебники, сетевые образовательные ресурсы, мультимедийные универсальные энциклопедии и т.п.);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аудиовизуальные (слайды, </w:t>
      </w:r>
      <w:proofErr w:type="gramStart"/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слайд-фильмы</w:t>
      </w:r>
      <w:proofErr w:type="gramEnd"/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видеофильмы образовательные, учебные кинофильмы, учебные фильмы на цифровых носителях);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наглядные плоскостные (плакаты, карты настенные, иллюстрации настенные, магнитные доски);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демонстрационные (гербарии, муляжи, макеты, стенды, модели в разрезе, модели демонстрационные);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приборы (компас, барометр, колбы, и т.д.);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тренажёры и спортивное оборудование (автотренажёры, гимнастическое оборудование, спортивные снаряды, мячи и т.п.).</w:t>
      </w:r>
    </w:p>
    <w:p w:rsidR="00722B08" w:rsidRPr="00722B08" w:rsidRDefault="00722B08" w:rsidP="00717B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есть и иной подход к типологии средств обучения (</w:t>
      </w:r>
      <w:proofErr w:type="spellStart"/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Пидкасистый</w:t>
      </w:r>
      <w:proofErr w:type="spellEnd"/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П.И.). Он, в частности, разделяет средства обучения </w:t>
      </w:r>
      <w:proofErr w:type="gramStart"/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материальные и идеальны</w:t>
      </w:r>
      <w:bookmarkStart w:id="0" w:name="_GoBack"/>
      <w:bookmarkEnd w:id="0"/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:rsidR="00722B08" w:rsidRPr="00722B08" w:rsidRDefault="00722B08" w:rsidP="00722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Идеальные средства обучения</w:t>
      </w: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те усвоенные ранее знания и умения, которые используют педагоги и дети для усвоения новых знаний.</w:t>
      </w:r>
    </w:p>
    <w:p w:rsidR="00722B08" w:rsidRPr="00722B08" w:rsidRDefault="00722B08" w:rsidP="00722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Материальные средства обучения</w:t>
      </w: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физические объекты, которые используют педагоги и дети для детализированного обучения.</w:t>
      </w:r>
    </w:p>
    <w:p w:rsidR="00722B08" w:rsidRPr="00722B08" w:rsidRDefault="00722B08" w:rsidP="00722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Наглядные пособия классифицируются на три группы: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объемные пособия (модели, коллекции, приборы, аппараты и т.п.);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печатные пособия (картины, плакаты, графики, таблицы)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проекционный материал (кинофильмы, видеофильмы, слайды и т.п.)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722B08" w:rsidRPr="00722B08" w:rsidRDefault="00722B08" w:rsidP="00722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использования средств обучения: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 возрастных и психологических особенностей обучающихся;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 дидактических целей и принципов дидактики (принципа наглядности, доступности и т.д.);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сотворчество педагога и обучающегося;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приоритет правил безопасности в использовании средств обучения.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ННОД по освоению Программы, но и при проведении режимных моментов.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Развивающая предметно-пространственная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Оборудование отвечает санитарно-эпидемиологическим нормам, гигиеническим, педагогическим и эстетическим требованиям.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9"/>
        <w:gridCol w:w="7012"/>
      </w:tblGrid>
      <w:tr w:rsidR="00C66BC3" w:rsidRPr="00722B08" w:rsidTr="00722B0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08" w:rsidRPr="00722B08" w:rsidRDefault="00722B08" w:rsidP="007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08" w:rsidRPr="00722B08" w:rsidRDefault="00722B08" w:rsidP="007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и</w:t>
            </w:r>
            <w:r w:rsidRPr="00722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учебно-материальное обеспечение</w:t>
            </w:r>
          </w:p>
        </w:tc>
      </w:tr>
      <w:tr w:rsidR="00C66BC3" w:rsidRPr="00722B08" w:rsidTr="00722B0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08" w:rsidRPr="00722B08" w:rsidRDefault="00722B08" w:rsidP="0072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08" w:rsidRPr="00722B08" w:rsidRDefault="00C66BC3" w:rsidP="00C6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Методический комплекс и оборудование для реализации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гимнастика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Степ-платформы. Баскетбольные  кольца. Магнитный дартс. Гимнастическая стенка. </w:t>
            </w:r>
            <w:proofErr w:type="gramStart"/>
            <w:r w:rsidR="00D3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Тренажеры детские: велотренажер, беговая дорожка, к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люшк</w:t>
            </w:r>
            <w:r w:rsidR="00D3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шайбой, обручи пластмассовые</w:t>
            </w:r>
            <w:r w:rsidR="00D3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размера)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палка пластмассовая гимнастическая, мячи разного диаметра, набор кеглей, </w:t>
            </w:r>
            <w:r w:rsidR="00D3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туннель, 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дуги для подлезания, коврики массажные, </w:t>
            </w:r>
            <w:proofErr w:type="spellStart"/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массажеры</w:t>
            </w:r>
            <w:proofErr w:type="spellEnd"/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ног, корригирующ</w:t>
            </w:r>
            <w:r w:rsidR="00D3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дорожк</w:t>
            </w:r>
            <w:r w:rsidR="00D3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скамейки для ходьбы (наклонная, с препятствиями), шведская лестница,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разнообразные </w:t>
            </w:r>
            <w:proofErr w:type="spellStart"/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кольцеброс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мешочки для равновесия, скакалки детские, </w:t>
            </w:r>
            <w:r w:rsidR="00D3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канат для лазания, 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 для перетягиван</w:t>
            </w:r>
            <w:r w:rsidR="00D3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ия, флажки разноцветные, ленты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султанчики</w:t>
            </w:r>
            <w:r w:rsidR="00D3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D3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предметн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карточек «Предметы гигиены». 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предметных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рточек «Мое тело», «Режим дня». 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аглядное методическое пособие (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 схемы).</w:t>
            </w:r>
          </w:p>
        </w:tc>
      </w:tr>
      <w:tr w:rsidR="00C66BC3" w:rsidRPr="00722B08" w:rsidTr="00722B0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08" w:rsidRPr="00722B08" w:rsidRDefault="00722B08" w:rsidP="0072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08" w:rsidRPr="00722B08" w:rsidRDefault="00C66BC3" w:rsidP="00C6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Методический комплекс и оборудование для реализации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«Лабиринты развивающих игр». </w:t>
            </w:r>
            <w:r w:rsidR="00D3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</w:t>
            </w:r>
            <w:proofErr w:type="gramStart"/>
            <w:r w:rsidR="00D3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="00D3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формированию ПДД. 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демонстрационных картин «Правила дорожного движения», «Пути и средства сообщения».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Грузовые, легковые автомобили, игрушки (куклы в одежде, куклы-младенцы, одежда для кукол).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демонстрационных картин «Прав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ила пожарной безопасности». 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редметных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карточек «Транспорт». 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сюжетных картинок «Дорожная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азбука», «Уроки безопасности». 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предметных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рточек «Профессии», «Символика». 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пособия, печат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пособия (картины, плакаты). 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игруш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ечной посуды. Наборы парикмахера. 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медиц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инских игровых принадлежностей. Игровой модуль «Кухня». 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гровой модуль «Парикмахерская». </w:t>
            </w:r>
            <w:proofErr w:type="gramStart"/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трудовой деятельности (совочки, грабельки, палочк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лейки пластмассовые детские) 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материал и брос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овый материал для ручного труда 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Картины, плакаты «Профессии», «Кем быть», «Госуда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рственные символы России» и др. 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предметных карточек «Инструм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енты», «Посуда», «Одежда» и др. Книги, 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энциклопедии, тематические книги.</w:t>
            </w:r>
            <w:proofErr w:type="gramEnd"/>
          </w:p>
        </w:tc>
      </w:tr>
      <w:tr w:rsidR="00C66BC3" w:rsidRPr="00722B08" w:rsidTr="00722B0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08" w:rsidRPr="00722B08" w:rsidRDefault="00722B08" w:rsidP="0072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08" w:rsidRPr="00722B08" w:rsidRDefault="00C66BC3" w:rsidP="0072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и экспонаты музея. Интерактивная доска «Карта России». 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Макеты «Государственных символов России».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Географические карты, атласы, хрестоматии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Демонстрационные (гербарии, муляжи, макеты, стенды, модели демонстрационные)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Учебные приборы (микроскоп, колбы, песочные часы, компас и </w:t>
            </w:r>
            <w:proofErr w:type="spellStart"/>
            <w:proofErr w:type="gramStart"/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«Одежда», «Насекомые», «Земноводные»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Серия демонстрационных сюжетных тематических картин «Дикие Животные», «Домашние животные» «Мир животных», «Домашние птицы», «Птицы», «Времена года».</w:t>
            </w:r>
            <w:proofErr w:type="gramEnd"/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Домино с цветными изображениями, шнуровки различного уровня сложности, игрушки-персонажи, напольный конструктор деревянный, наборы настольного конструктора, набор счетного материала, счетные палочки, комплект цифр и букв на магнитах, набор плоскостных геометрических фигур, наборы раздаточного математического оборудования.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Мозаика с плоскостными элементами различных геометрических форм, дидактические игры «Цвет», «Форма», «Фигуры».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Информационный материал «Паспорт экологической тропы» Муляжи фруктов и овощей, увеличительное стекло,   набор контейнеров.</w:t>
            </w:r>
          </w:p>
        </w:tc>
      </w:tr>
      <w:tr w:rsidR="00C66BC3" w:rsidRPr="00722B08" w:rsidTr="00722B0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08" w:rsidRPr="00722B08" w:rsidRDefault="00722B08" w:rsidP="0072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08" w:rsidRPr="00722B08" w:rsidRDefault="00717BE1" w:rsidP="0072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Звуковые домики для обучения грамоте. Теремки по обучению грамоте воспитанников. 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сюжетных карточек по тем</w:t>
            </w:r>
            <w:r w:rsidR="00C6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 «Учимся пересказывать», Учимся составлять рассказы, «В детском саду», «Профессии», «В походе», «В половодье», «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школе» и др.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Предметные игрушки-персонажи.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Сюжетные картины «Наши игрушки», «Мы играем», «Звучащее слово».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Методическая литература (рабочие тетради, хрестоматии и </w:t>
            </w:r>
            <w:proofErr w:type="spellStart"/>
            <w:proofErr w:type="gramStart"/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Обучающие </w:t>
            </w:r>
            <w:proofErr w:type="spellStart"/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«Учимся читать», «Азбука», «Развиваем речь, мышление и мелкую моторику», домино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C66BC3" w:rsidRPr="00722B08" w:rsidTr="00722B0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08" w:rsidRPr="00722B08" w:rsidRDefault="00722B08" w:rsidP="0072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Художественно </w:t>
            </w:r>
            <w:proofErr w:type="gramStart"/>
            <w:r w:rsidRPr="00722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-э</w:t>
            </w:r>
            <w:proofErr w:type="gramEnd"/>
            <w:r w:rsidRPr="00722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стетическое развитие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08" w:rsidRPr="00722B08" w:rsidRDefault="00717BE1" w:rsidP="00717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Ширма для показа кукольных театров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Комплекты детских книг для каждого возраста, детские энциклопедии, иллюстрации к детской художественной 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литературе, портреты писателей.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Флеп-чарты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каждой группе и кабинетах. </w:t>
            </w:r>
            <w:proofErr w:type="gramStart"/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доска, мольберт, репродукции художников, портреты художников-иллюстраторов, комплект изделий народных промыслов (матрешка, дымка), наборы демонстрационного материала «Городецкая роспись», «Гжель», «Хохлома», «Дымка», тематические комплекты карточек для лепки, аппликации, рисования.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для детей «Волшебный круг» для знакомства с декоративно-прикладным искусством России.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алитра, стаканчики, трафареты, кисочки, карандаши простые, цветные, мелки восковые, бумага цветная, картон цветной, белый, безопасные ножницы, клей канцелярский, кисточка щетинная, пластилин, доска для работы с пластилином.</w:t>
            </w:r>
            <w:proofErr w:type="gramEnd"/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proofErr w:type="gramStart"/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CD-дисков с музыкальными произведениями, набор шумовых музыкальных инструментов (музыкальные колокольчики, бубны, игровые ложки, вертушка, трещотка, бар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абан,  погремушки), металлофон.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костюмов театрализованной деятельности, шапочки для театрализованной деятельности, ширма для кукольного театра настольная, игрушки-персонажи, флажки разноцветные, ширмы для театра, куклы, ёлки искусственные, гирлянды, наборы елочных игрушек, мишура.</w:t>
            </w:r>
            <w:proofErr w:type="gramEnd"/>
          </w:p>
        </w:tc>
      </w:tr>
      <w:tr w:rsidR="00C66BC3" w:rsidRPr="00722B08" w:rsidTr="00722B0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08" w:rsidRPr="00722B08" w:rsidRDefault="00722B08" w:rsidP="0072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Технические средства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BE1" w:rsidRDefault="00717BE1" w:rsidP="00717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Световая и интерактивная песочница. </w:t>
            </w:r>
          </w:p>
          <w:p w:rsidR="00722B08" w:rsidRPr="00722B08" w:rsidRDefault="00722B08" w:rsidP="00717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  <w:r w:rsidR="00C6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</w:t>
            </w:r>
            <w:proofErr w:type="spellStart"/>
            <w:proofErr w:type="gramStart"/>
            <w:r w:rsidR="00C6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="00C6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экран</w:t>
            </w:r>
            <w:r w:rsidR="00C6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шт.)</w:t>
            </w:r>
            <w:r w:rsidR="0071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</w:t>
            </w:r>
            <w:r w:rsidR="00C6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(5 </w:t>
            </w:r>
            <w:proofErr w:type="spellStart"/>
            <w:proofErr w:type="gramStart"/>
            <w:r w:rsidR="00C6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="00C6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6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переносная колонка (1 шт.), переносная мини-колонка (10 шт.), музыкальный центр (1 шт.), 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  <w:r w:rsidR="0071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 шт.)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</w:t>
            </w:r>
            <w:r w:rsidR="0071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центр, 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71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лектронные носители информации: 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proofErr w:type="gramEnd"/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Рыба-диск «Организация работы в летний период», «Организация медицинского обслуживания», «Взаимодействия с родителями».</w:t>
            </w:r>
            <w:r w:rsidR="0071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Цифровые носители.  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</w:t>
            </w:r>
            <w:r w:rsidR="0071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кие мультимедийные презентации. 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музыкальные аудиозаписи.</w:t>
            </w:r>
          </w:p>
        </w:tc>
      </w:tr>
    </w:tbl>
    <w:p w:rsidR="00020B2F" w:rsidRPr="00722B08" w:rsidRDefault="00020B2F" w:rsidP="00722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0B2F" w:rsidRPr="0072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08"/>
    <w:rsid w:val="00020B2F"/>
    <w:rsid w:val="00717BE1"/>
    <w:rsid w:val="00722B08"/>
    <w:rsid w:val="00C66BC3"/>
    <w:rsid w:val="00D3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6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4104235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159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9657029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2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4164216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User10</cp:lastModifiedBy>
  <cp:revision>3</cp:revision>
  <dcterms:created xsi:type="dcterms:W3CDTF">2017-11-08T13:37:00Z</dcterms:created>
  <dcterms:modified xsi:type="dcterms:W3CDTF">2021-07-23T15:24:00Z</dcterms:modified>
</cp:coreProperties>
</file>